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4F" w:rsidRDefault="00B21F4F" w:rsidP="00B21F4F">
      <w:pPr>
        <w:tabs>
          <w:tab w:val="left" w:pos="1985"/>
          <w:tab w:val="left" w:pos="2410"/>
        </w:tabs>
        <w:spacing w:before="240"/>
        <w:jc w:val="both"/>
        <w:rPr>
          <w:rFonts w:ascii="Arial" w:eastAsiaTheme="majorEastAsia" w:hAnsi="Arial" w:cs="Arial"/>
          <w:b/>
          <w:bCs/>
          <w:sz w:val="36"/>
          <w:szCs w:val="36"/>
        </w:rPr>
      </w:pPr>
      <w:r w:rsidRPr="00B21F4F">
        <w:rPr>
          <w:rFonts w:ascii="Arial" w:eastAsiaTheme="majorEastAsia" w:hAnsi="Arial" w:cs="Arial"/>
          <w:b/>
          <w:bCs/>
          <w:sz w:val="36"/>
          <w:szCs w:val="36"/>
        </w:rPr>
        <w:t xml:space="preserve">Gayrisıhhi Müesseseler için İşyeri Açma ve Çalışma Ruhsatı Başvurusu  </w:t>
      </w:r>
    </w:p>
    <w:p w:rsidR="00B21F4F" w:rsidRPr="00B21F4F" w:rsidRDefault="00B21F4F" w:rsidP="00B21F4F">
      <w:pPr>
        <w:tabs>
          <w:tab w:val="left" w:pos="1985"/>
          <w:tab w:val="left" w:pos="2410"/>
        </w:tabs>
        <w:spacing w:before="240"/>
        <w:jc w:val="both"/>
        <w:rPr>
          <w:rFonts w:ascii="Arial" w:eastAsiaTheme="majorEastAsia" w:hAnsi="Arial" w:cs="Arial"/>
          <w:b/>
          <w:bCs/>
          <w:sz w:val="36"/>
          <w:szCs w:val="36"/>
        </w:rPr>
      </w:pPr>
    </w:p>
    <w:p w:rsidR="00B21F4F" w:rsidRDefault="00B21F4F" w:rsidP="00B21F4F">
      <w:pPr>
        <w:spacing w:after="120"/>
        <w:jc w:val="both"/>
        <w:rPr>
          <w:rFonts w:ascii="Arial" w:hAnsi="Arial" w:cs="Arial"/>
        </w:rPr>
      </w:pPr>
      <w:r w:rsidRPr="00355EBC">
        <w:rPr>
          <w:rFonts w:ascii="Arial" w:eastAsiaTheme="majorEastAsia" w:hAnsi="Arial" w:cs="Arial"/>
          <w:bCs/>
        </w:rPr>
        <w:t xml:space="preserve">Gayrisıhhi müessese açmak isteyen katılımcılar ilgili yönetmeliğin Örnek-2’de </w:t>
      </w:r>
      <w:r w:rsidRPr="00355EBC">
        <w:rPr>
          <w:rFonts w:ascii="Arial" w:hAnsi="Arial" w:cs="Arial"/>
        </w:rPr>
        <w:t>yer alan başvuru ve beyan formuyla Organize Sanayi Bölgesi Bölge Müdürlüğü’ne müracaat eder. Ruhsat başvurusu, genel şartlar sağlandıktan sonra aşağıda yer alan belgeleri de içere</w:t>
      </w:r>
      <w:r>
        <w:rPr>
          <w:rFonts w:ascii="Arial" w:hAnsi="Arial" w:cs="Arial"/>
        </w:rPr>
        <w:t>cek yazılı bir dilekçeyle YENİCE</w:t>
      </w:r>
      <w:r w:rsidRPr="00355EBC">
        <w:rPr>
          <w:rFonts w:ascii="Arial" w:hAnsi="Arial" w:cs="Arial"/>
        </w:rPr>
        <w:t xml:space="preserve"> OSB Bölge Müdürlüğü’ne yapılır.</w:t>
      </w:r>
    </w:p>
    <w:p w:rsidR="00B21F4F" w:rsidRPr="00355EBC" w:rsidRDefault="00B21F4F" w:rsidP="00B21F4F">
      <w:pPr>
        <w:spacing w:after="120"/>
        <w:jc w:val="both"/>
        <w:rPr>
          <w:rFonts w:ascii="Arial" w:hAnsi="Arial" w:cs="Arial"/>
        </w:rPr>
      </w:pPr>
    </w:p>
    <w:p w:rsidR="00B21F4F" w:rsidRPr="00355EBC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Başvuru formu,</w:t>
      </w:r>
    </w:p>
    <w:p w:rsidR="00B21F4F" w:rsidRPr="00355EBC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Kapasite raporu</w:t>
      </w:r>
    </w:p>
    <w:p w:rsidR="00B21F4F" w:rsidRPr="00355EBC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 xml:space="preserve">Yangın ve patlamalar için gerekli önlemlerin alındığına dair itfaiye raporu, </w:t>
      </w:r>
    </w:p>
    <w:p w:rsidR="00B21F4F" w:rsidRPr="00355EBC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Sorumlu müdür sözleşmesi,</w:t>
      </w:r>
    </w:p>
    <w:p w:rsidR="00B21F4F" w:rsidRPr="00355EBC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Yapı Kullanma İzni,</w:t>
      </w:r>
    </w:p>
    <w:p w:rsidR="00B21F4F" w:rsidRPr="00355EBC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Çevre İzni veya kapsam dışı olduğuna ilişkin belge,</w:t>
      </w:r>
    </w:p>
    <w:p w:rsidR="00B21F4F" w:rsidRPr="00355EBC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Atık su b</w:t>
      </w:r>
      <w:r w:rsidRPr="00355EBC">
        <w:rPr>
          <w:rFonts w:ascii="Arial" w:hAnsi="Arial" w:cs="Arial"/>
        </w:rPr>
        <w:t>ağlantı İzin Belgesi,</w:t>
      </w:r>
    </w:p>
    <w:p w:rsidR="00B21F4F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YENİCE</w:t>
      </w:r>
      <w:r w:rsidRPr="00355EBC">
        <w:rPr>
          <w:rFonts w:ascii="Arial" w:hAnsi="Arial" w:cs="Arial"/>
        </w:rPr>
        <w:t xml:space="preserve"> OSB saha gözlem ekibini</w:t>
      </w:r>
      <w:r>
        <w:rPr>
          <w:rFonts w:ascii="Arial" w:hAnsi="Arial" w:cs="Arial"/>
        </w:rPr>
        <w:t>n hazırlayacağı uygunluk raporu,</w:t>
      </w:r>
    </w:p>
    <w:p w:rsidR="00B21F4F" w:rsidRDefault="00B21F4F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Sanayi sicil belgesi</w:t>
      </w:r>
    </w:p>
    <w:p w:rsidR="0068748B" w:rsidRDefault="0068748B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Vergi Levhası</w:t>
      </w:r>
    </w:p>
    <w:p w:rsidR="0068748B" w:rsidRDefault="0068748B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Tapu Fotokopisi</w:t>
      </w:r>
    </w:p>
    <w:p w:rsidR="0068748B" w:rsidRDefault="0068748B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Kira Sözleşmesi</w:t>
      </w:r>
      <w:bookmarkStart w:id="0" w:name="_GoBack"/>
      <w:bookmarkEnd w:id="0"/>
    </w:p>
    <w:p w:rsidR="0068748B" w:rsidRDefault="0068748B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İmza Sirküleri</w:t>
      </w:r>
    </w:p>
    <w:p w:rsidR="0068748B" w:rsidRPr="00355EBC" w:rsidRDefault="00BC64BD" w:rsidP="00B21F4F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Şirket Yetkilisi </w:t>
      </w:r>
      <w:r w:rsidR="0068748B">
        <w:rPr>
          <w:rFonts w:ascii="Arial" w:hAnsi="Arial" w:cs="Arial"/>
        </w:rPr>
        <w:t>Kimlik Fotokopisi</w:t>
      </w:r>
    </w:p>
    <w:p w:rsidR="00B21F4F" w:rsidRDefault="00B21F4F" w:rsidP="00B21F4F">
      <w:pPr>
        <w:jc w:val="both"/>
        <w:rPr>
          <w:rFonts w:ascii="Arial" w:eastAsiaTheme="majorEastAsia" w:hAnsi="Arial" w:cs="Arial"/>
          <w:bCs/>
        </w:rPr>
      </w:pPr>
      <w:r w:rsidRPr="00355EBC">
        <w:rPr>
          <w:rFonts w:ascii="Arial" w:hAnsi="Arial" w:cs="Arial"/>
        </w:rPr>
        <w:t>İşyeri Açma ve Çalışma Ruhsatlarına İlişkin Yönetmelik kapsamına girmesine rağmen adı ve nitelikleri belirtilmeyen gayrisıhhî bir işyerinin açılması halinde sınıf tayini, yönetmelikte belirtilen kurumların görüşü alınarak İçişleri Bakanlığı tarafından</w:t>
      </w:r>
      <w:r w:rsidRPr="00355EBC">
        <w:rPr>
          <w:rFonts w:ascii="Arial" w:eastAsiaTheme="majorEastAsia" w:hAnsi="Arial" w:cs="Arial"/>
          <w:bCs/>
        </w:rPr>
        <w:t xml:space="preserve"> yeni sınıf tayini yapılır.</w:t>
      </w:r>
    </w:p>
    <w:p w:rsidR="00C0186A" w:rsidRDefault="00C0186A"/>
    <w:sectPr w:rsidR="00C0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1462"/>
    <w:multiLevelType w:val="hybridMultilevel"/>
    <w:tmpl w:val="2E804F9A"/>
    <w:lvl w:ilvl="0" w:tplc="BBFC5562">
      <w:start w:val="1"/>
      <w:numFmt w:val="lowerLetter"/>
      <w:lvlText w:val="%1)"/>
      <w:lvlJc w:val="left"/>
      <w:pPr>
        <w:tabs>
          <w:tab w:val="num" w:pos="754"/>
        </w:tabs>
        <w:ind w:left="754" w:hanging="377"/>
      </w:pPr>
    </w:lvl>
    <w:lvl w:ilvl="1" w:tplc="FC74A0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AC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447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2F5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B897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60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6B1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26A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D3"/>
    <w:rsid w:val="0068748B"/>
    <w:rsid w:val="009D0BD3"/>
    <w:rsid w:val="00B21F4F"/>
    <w:rsid w:val="00BC64BD"/>
    <w:rsid w:val="00C0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BE07E"/>
  <w15:docId w15:val="{73C7BF73-E55D-4440-9C9C-45502FA1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F4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7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Y.OSB</cp:lastModifiedBy>
  <cp:revision>3</cp:revision>
  <cp:lastPrinted>2021-12-14T13:55:00Z</cp:lastPrinted>
  <dcterms:created xsi:type="dcterms:W3CDTF">2021-12-14T14:00:00Z</dcterms:created>
  <dcterms:modified xsi:type="dcterms:W3CDTF">2025-02-07T13:32:00Z</dcterms:modified>
</cp:coreProperties>
</file>